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52B7CAC5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7756A">
        <w:rPr>
          <w:spacing w:val="-4"/>
        </w:rPr>
        <w:t xml:space="preserve">December </w:t>
      </w:r>
      <w:r w:rsidR="00D949D3">
        <w:rPr>
          <w:spacing w:val="-4"/>
        </w:rPr>
        <w:t xml:space="preserve"> 3</w:t>
      </w:r>
      <w:r w:rsidR="0037756A">
        <w:rPr>
          <w:spacing w:val="-4"/>
        </w:rPr>
        <w:t>1</w:t>
      </w:r>
      <w:r w:rsidR="00D949D3">
        <w:rPr>
          <w:spacing w:val="-4"/>
        </w:rPr>
        <w:t>,</w:t>
      </w:r>
      <w:r w:rsidR="008736B7">
        <w:rPr>
          <w:spacing w:val="-4"/>
        </w:rPr>
        <w:t xml:space="preserve"> </w:t>
      </w:r>
      <w:r w:rsidR="00D949D3">
        <w:rPr>
          <w:spacing w:val="-4"/>
        </w:rPr>
        <w:t>202</w:t>
      </w:r>
      <w:r w:rsidR="00B6080B">
        <w:rPr>
          <w:spacing w:val="-4"/>
        </w:rPr>
        <w:t>4</w:t>
      </w:r>
    </w:p>
    <w:p w14:paraId="7BFCB6C3" w14:textId="3690BF4B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E55EDE">
        <w:rPr>
          <w:sz w:val="22"/>
          <w:szCs w:val="22"/>
        </w:rPr>
        <w:t>December</w:t>
      </w:r>
      <w:r w:rsidR="00CB7036" w:rsidRPr="00CB7036">
        <w:rPr>
          <w:sz w:val="22"/>
          <w:szCs w:val="22"/>
        </w:rPr>
        <w:t xml:space="preserve"> 3</w:t>
      </w:r>
      <w:r w:rsidR="00E55EDE">
        <w:rPr>
          <w:sz w:val="22"/>
          <w:szCs w:val="22"/>
        </w:rPr>
        <w:t>1</w:t>
      </w:r>
      <w:r w:rsidR="00CB7036" w:rsidRPr="00CB7036">
        <w:rPr>
          <w:sz w:val="22"/>
          <w:szCs w:val="22"/>
        </w:rPr>
        <w:t>,2024</w:t>
      </w:r>
      <w:r w:rsidR="00C167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4F9DAA34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r w:rsidR="00C1675A">
        <w:t>at</w:t>
      </w:r>
      <w:r w:rsidR="00C1675A">
        <w:rPr>
          <w:spacing w:val="-1"/>
        </w:rPr>
        <w:t xml:space="preserve"> </w:t>
      </w:r>
      <w:r w:rsidR="00085413">
        <w:t>December</w:t>
      </w:r>
      <w:r w:rsidR="00B6080B">
        <w:t xml:space="preserve"> 3</w:t>
      </w:r>
      <w:r w:rsidR="00085413">
        <w:t>1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B6080B">
        <w:t>4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090B3A76" w:rsidR="007C7271" w:rsidRDefault="00E81B64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627EB7">
              <w:rPr>
                <w:sz w:val="21"/>
                <w:szCs w:val="21"/>
              </w:rPr>
              <w:t>83</w:t>
            </w:r>
            <w:r>
              <w:rPr>
                <w:sz w:val="21"/>
                <w:szCs w:val="21"/>
              </w:rPr>
              <w:t>.</w:t>
            </w:r>
            <w:r w:rsidR="00627EB7">
              <w:rPr>
                <w:sz w:val="21"/>
                <w:szCs w:val="21"/>
              </w:rPr>
              <w:t>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27A426B3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27EB7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 w:rsidR="00627EB7">
              <w:rPr>
                <w:sz w:val="21"/>
                <w:szCs w:val="21"/>
              </w:rPr>
              <w:t>26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0C9151D2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5AB1135A" w:rsidR="007C7271" w:rsidRDefault="00845105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7E0B84">
              <w:rPr>
                <w:sz w:val="21"/>
                <w:szCs w:val="21"/>
              </w:rPr>
              <w:t>83.34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4D57D3ED" w:rsidR="007C7271" w:rsidRDefault="007E0B84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32.26%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4B8DD599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845105">
        <w:rPr>
          <w:spacing w:val="-2"/>
        </w:rPr>
        <w:t>December</w:t>
      </w:r>
      <w:r>
        <w:rPr>
          <w:spacing w:val="-3"/>
        </w:rPr>
        <w:t xml:space="preserve"> </w:t>
      </w:r>
      <w:r>
        <w:t>3</w:t>
      </w:r>
      <w:r w:rsidR="00845105">
        <w:t>1</w:t>
      </w:r>
      <w:r>
        <w:t>,202</w:t>
      </w:r>
      <w:r w:rsidR="00B6080B">
        <w:t>4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1E03E11F" w:rsidR="007C7271" w:rsidRDefault="00503978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63950966" w:rsidR="007C7271" w:rsidRDefault="007427C9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3978">
              <w:rPr>
                <w:sz w:val="21"/>
                <w:szCs w:val="21"/>
              </w:rPr>
              <w:t>4.09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63F3B47A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E2A5D">
              <w:rPr>
                <w:sz w:val="21"/>
                <w:szCs w:val="21"/>
              </w:rPr>
              <w:t>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6C461A4E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E2A5D">
              <w:rPr>
                <w:sz w:val="21"/>
                <w:szCs w:val="21"/>
              </w:rPr>
              <w:t>81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64C76665" w:rsidR="007C7271" w:rsidRDefault="008E2A5D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722.7</w:t>
            </w:r>
            <w:r w:rsidR="00E86905"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287357C4" w:rsidR="007C7271" w:rsidRDefault="007427C9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E2A5D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8E2A5D">
              <w:rPr>
                <w:sz w:val="21"/>
                <w:szCs w:val="21"/>
              </w:rPr>
              <w:t>71</w:t>
            </w:r>
            <w:r>
              <w:rPr>
                <w:sz w:val="21"/>
                <w:szCs w:val="21"/>
              </w:rPr>
              <w:t>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4F89055F" w:rsidR="00C1675A" w:rsidRDefault="00D726F6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,</w:t>
            </w:r>
            <w:r w:rsidR="006F0409">
              <w:rPr>
                <w:sz w:val="21"/>
                <w:szCs w:val="21"/>
              </w:rPr>
              <w:t>157.47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34E5BDBE" w:rsidR="00C1675A" w:rsidRDefault="007427C9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F0409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.9</w:t>
            </w:r>
            <w:r w:rsidR="006F0409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lastRenderedPageBreak/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049FA3A4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at </w:t>
            </w:r>
            <w:r w:rsidR="006F0409">
              <w:rPr>
                <w:b/>
                <w:bCs/>
                <w:sz w:val="21"/>
                <w:szCs w:val="21"/>
              </w:rPr>
              <w:t>Decembe</w:t>
            </w:r>
            <w:r w:rsidR="001C1E06">
              <w:rPr>
                <w:b/>
                <w:bCs/>
                <w:sz w:val="21"/>
                <w:szCs w:val="21"/>
              </w:rPr>
              <w:t>r</w:t>
            </w:r>
            <w:r w:rsidR="00B6080B">
              <w:rPr>
                <w:b/>
                <w:bCs/>
                <w:sz w:val="21"/>
                <w:szCs w:val="21"/>
              </w:rPr>
              <w:t xml:space="preserve"> 3</w:t>
            </w:r>
            <w:r w:rsidR="006F0409">
              <w:rPr>
                <w:b/>
                <w:bCs/>
                <w:sz w:val="21"/>
                <w:szCs w:val="21"/>
              </w:rPr>
              <w:t>1</w:t>
            </w:r>
            <w:r w:rsidR="00B6080B">
              <w:rPr>
                <w:b/>
                <w:bCs/>
                <w:sz w:val="21"/>
                <w:szCs w:val="21"/>
              </w:rPr>
              <w:t>, 2024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r>
        <w:t>any;</w:t>
      </w:r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liability gap;</w:t>
      </w:r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2F2D" w14:textId="77777777" w:rsidR="00E03B8E" w:rsidRDefault="00E03B8E">
      <w:r>
        <w:separator/>
      </w:r>
    </w:p>
  </w:endnote>
  <w:endnote w:type="continuationSeparator" w:id="0">
    <w:p w14:paraId="378F6894" w14:textId="77777777" w:rsidR="00E03B8E" w:rsidRDefault="00E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>Registered Office: Tower 3 Wing B’, Kohinoor City Mall ,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ID :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63CB" w14:textId="77777777" w:rsidR="00E03B8E" w:rsidRDefault="00E03B8E">
      <w:r>
        <w:separator/>
      </w:r>
    </w:p>
  </w:footnote>
  <w:footnote w:type="continuationSeparator" w:id="0">
    <w:p w14:paraId="385AB7E4" w14:textId="77777777" w:rsidR="00E03B8E" w:rsidRDefault="00E0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11268"/>
    <w:rsid w:val="00026666"/>
    <w:rsid w:val="00027369"/>
    <w:rsid w:val="000340BF"/>
    <w:rsid w:val="000530C0"/>
    <w:rsid w:val="00055573"/>
    <w:rsid w:val="00060A8D"/>
    <w:rsid w:val="000625B6"/>
    <w:rsid w:val="00072708"/>
    <w:rsid w:val="00074B56"/>
    <w:rsid w:val="00085413"/>
    <w:rsid w:val="000B69E9"/>
    <w:rsid w:val="000E6E01"/>
    <w:rsid w:val="000F5AD4"/>
    <w:rsid w:val="00133929"/>
    <w:rsid w:val="00133FB3"/>
    <w:rsid w:val="00135E3D"/>
    <w:rsid w:val="00140E9C"/>
    <w:rsid w:val="0016092E"/>
    <w:rsid w:val="00162FD8"/>
    <w:rsid w:val="00164524"/>
    <w:rsid w:val="0016510D"/>
    <w:rsid w:val="00172D8E"/>
    <w:rsid w:val="00184F89"/>
    <w:rsid w:val="0018547F"/>
    <w:rsid w:val="00185DAD"/>
    <w:rsid w:val="00197773"/>
    <w:rsid w:val="001A4C90"/>
    <w:rsid w:val="001C1E06"/>
    <w:rsid w:val="001C22E4"/>
    <w:rsid w:val="001E35C5"/>
    <w:rsid w:val="00211DF1"/>
    <w:rsid w:val="00213E83"/>
    <w:rsid w:val="0021435E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C614F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7756A"/>
    <w:rsid w:val="0038424B"/>
    <w:rsid w:val="00386A8D"/>
    <w:rsid w:val="0038784A"/>
    <w:rsid w:val="003A29B5"/>
    <w:rsid w:val="003A474D"/>
    <w:rsid w:val="003A6068"/>
    <w:rsid w:val="003B39BD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92CFE"/>
    <w:rsid w:val="004B4DB5"/>
    <w:rsid w:val="004E59CA"/>
    <w:rsid w:val="004F6232"/>
    <w:rsid w:val="00503978"/>
    <w:rsid w:val="005179FA"/>
    <w:rsid w:val="0054340E"/>
    <w:rsid w:val="00546BF2"/>
    <w:rsid w:val="00551B66"/>
    <w:rsid w:val="00557EA0"/>
    <w:rsid w:val="005619F2"/>
    <w:rsid w:val="005650CE"/>
    <w:rsid w:val="00581A62"/>
    <w:rsid w:val="005832EF"/>
    <w:rsid w:val="00587E75"/>
    <w:rsid w:val="00593A18"/>
    <w:rsid w:val="00594E77"/>
    <w:rsid w:val="005A6C2E"/>
    <w:rsid w:val="005C31F3"/>
    <w:rsid w:val="005C4298"/>
    <w:rsid w:val="005D3850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27EB7"/>
    <w:rsid w:val="006421F0"/>
    <w:rsid w:val="00642E35"/>
    <w:rsid w:val="006843EE"/>
    <w:rsid w:val="006A2982"/>
    <w:rsid w:val="006B0BB5"/>
    <w:rsid w:val="006B4DCE"/>
    <w:rsid w:val="006B6083"/>
    <w:rsid w:val="006E5178"/>
    <w:rsid w:val="006F0409"/>
    <w:rsid w:val="006F28D9"/>
    <w:rsid w:val="006F2B44"/>
    <w:rsid w:val="0071415B"/>
    <w:rsid w:val="007307E1"/>
    <w:rsid w:val="00736129"/>
    <w:rsid w:val="00737C68"/>
    <w:rsid w:val="00740F95"/>
    <w:rsid w:val="007427C9"/>
    <w:rsid w:val="007443DA"/>
    <w:rsid w:val="00754095"/>
    <w:rsid w:val="007750E0"/>
    <w:rsid w:val="0078594F"/>
    <w:rsid w:val="00795897"/>
    <w:rsid w:val="007A4601"/>
    <w:rsid w:val="007B4795"/>
    <w:rsid w:val="007B7B40"/>
    <w:rsid w:val="007C10AB"/>
    <w:rsid w:val="007C7271"/>
    <w:rsid w:val="007D5BEA"/>
    <w:rsid w:val="007E0B84"/>
    <w:rsid w:val="008035E0"/>
    <w:rsid w:val="0081783C"/>
    <w:rsid w:val="00833C8C"/>
    <w:rsid w:val="0084159E"/>
    <w:rsid w:val="00845105"/>
    <w:rsid w:val="0085508D"/>
    <w:rsid w:val="00856259"/>
    <w:rsid w:val="00871DCA"/>
    <w:rsid w:val="008736B7"/>
    <w:rsid w:val="0089574C"/>
    <w:rsid w:val="008A26FD"/>
    <w:rsid w:val="008B3049"/>
    <w:rsid w:val="008C42DE"/>
    <w:rsid w:val="008E1ECB"/>
    <w:rsid w:val="008E2A5D"/>
    <w:rsid w:val="008E7417"/>
    <w:rsid w:val="008F2F0E"/>
    <w:rsid w:val="008F5999"/>
    <w:rsid w:val="00901889"/>
    <w:rsid w:val="00917A7F"/>
    <w:rsid w:val="009278B9"/>
    <w:rsid w:val="009322A3"/>
    <w:rsid w:val="00980E2F"/>
    <w:rsid w:val="00983665"/>
    <w:rsid w:val="00984A3D"/>
    <w:rsid w:val="00997EF9"/>
    <w:rsid w:val="009C43AF"/>
    <w:rsid w:val="009D1C97"/>
    <w:rsid w:val="009D5F29"/>
    <w:rsid w:val="009E3C78"/>
    <w:rsid w:val="00A11C0E"/>
    <w:rsid w:val="00A15817"/>
    <w:rsid w:val="00A26F48"/>
    <w:rsid w:val="00A346A4"/>
    <w:rsid w:val="00A36C5D"/>
    <w:rsid w:val="00A4194B"/>
    <w:rsid w:val="00A437F6"/>
    <w:rsid w:val="00A44404"/>
    <w:rsid w:val="00A45A1E"/>
    <w:rsid w:val="00A517E4"/>
    <w:rsid w:val="00A56FE8"/>
    <w:rsid w:val="00A579D0"/>
    <w:rsid w:val="00A6349D"/>
    <w:rsid w:val="00A804DC"/>
    <w:rsid w:val="00A87450"/>
    <w:rsid w:val="00A975CB"/>
    <w:rsid w:val="00AB2BBE"/>
    <w:rsid w:val="00AB706F"/>
    <w:rsid w:val="00AC3340"/>
    <w:rsid w:val="00AD18C5"/>
    <w:rsid w:val="00AE1E92"/>
    <w:rsid w:val="00AE3D3B"/>
    <w:rsid w:val="00B04DC5"/>
    <w:rsid w:val="00B052A0"/>
    <w:rsid w:val="00B14E62"/>
    <w:rsid w:val="00B156DD"/>
    <w:rsid w:val="00B219A2"/>
    <w:rsid w:val="00B2582B"/>
    <w:rsid w:val="00B3061C"/>
    <w:rsid w:val="00B329A0"/>
    <w:rsid w:val="00B36B86"/>
    <w:rsid w:val="00B4790D"/>
    <w:rsid w:val="00B5074A"/>
    <w:rsid w:val="00B6080B"/>
    <w:rsid w:val="00B636C7"/>
    <w:rsid w:val="00B7165E"/>
    <w:rsid w:val="00B8197C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B7036"/>
    <w:rsid w:val="00CC1194"/>
    <w:rsid w:val="00CF1A6C"/>
    <w:rsid w:val="00CF682F"/>
    <w:rsid w:val="00D03CFE"/>
    <w:rsid w:val="00D22C8F"/>
    <w:rsid w:val="00D35060"/>
    <w:rsid w:val="00D363EB"/>
    <w:rsid w:val="00D441CD"/>
    <w:rsid w:val="00D5149A"/>
    <w:rsid w:val="00D645D5"/>
    <w:rsid w:val="00D726F6"/>
    <w:rsid w:val="00D834FB"/>
    <w:rsid w:val="00D92BF7"/>
    <w:rsid w:val="00D949D3"/>
    <w:rsid w:val="00D97A98"/>
    <w:rsid w:val="00DA1AE0"/>
    <w:rsid w:val="00DA38B8"/>
    <w:rsid w:val="00DA62E1"/>
    <w:rsid w:val="00DA7050"/>
    <w:rsid w:val="00DC79D8"/>
    <w:rsid w:val="00DC7E70"/>
    <w:rsid w:val="00DE72D3"/>
    <w:rsid w:val="00DF1125"/>
    <w:rsid w:val="00DF5986"/>
    <w:rsid w:val="00DF63D4"/>
    <w:rsid w:val="00DF63ED"/>
    <w:rsid w:val="00E0154B"/>
    <w:rsid w:val="00E03B8E"/>
    <w:rsid w:val="00E338E3"/>
    <w:rsid w:val="00E40FF4"/>
    <w:rsid w:val="00E55EDE"/>
    <w:rsid w:val="00E637B9"/>
    <w:rsid w:val="00E74DB2"/>
    <w:rsid w:val="00E81B64"/>
    <w:rsid w:val="00E82800"/>
    <w:rsid w:val="00E86905"/>
    <w:rsid w:val="00E86DD6"/>
    <w:rsid w:val="00EB05D8"/>
    <w:rsid w:val="00EC5D22"/>
    <w:rsid w:val="00EC67F9"/>
    <w:rsid w:val="00ED713F"/>
    <w:rsid w:val="00ED7F05"/>
    <w:rsid w:val="00EF10D7"/>
    <w:rsid w:val="00F22995"/>
    <w:rsid w:val="00F316AF"/>
    <w:rsid w:val="00F36FBB"/>
    <w:rsid w:val="00F44B56"/>
    <w:rsid w:val="00F50E9C"/>
    <w:rsid w:val="00F553F0"/>
    <w:rsid w:val="00F5726F"/>
    <w:rsid w:val="00F7258B"/>
    <w:rsid w:val="00F74FF9"/>
    <w:rsid w:val="00F8774F"/>
    <w:rsid w:val="00F978E9"/>
    <w:rsid w:val="00FA001D"/>
    <w:rsid w:val="00FB011A"/>
    <w:rsid w:val="00FC287C"/>
    <w:rsid w:val="00FC52AD"/>
    <w:rsid w:val="00FD1DA1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Minesh Shah - Finance &amp; Accounts</cp:lastModifiedBy>
  <cp:revision>29</cp:revision>
  <cp:lastPrinted>2023-11-09T12:58:00Z</cp:lastPrinted>
  <dcterms:created xsi:type="dcterms:W3CDTF">2024-06-18T09:26:00Z</dcterms:created>
  <dcterms:modified xsi:type="dcterms:W3CDTF">2025-03-04T10:47:00Z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